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10C" w:rsidRPr="004A410C" w:rsidRDefault="004A410C" w:rsidP="004A4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10C">
        <w:rPr>
          <w:rFonts w:ascii="Times New Roman" w:eastAsia="Times New Roman" w:hAnsi="Times New Roman" w:cs="Times New Roman"/>
          <w:sz w:val="24"/>
          <w:szCs w:val="24"/>
        </w:rPr>
        <w:t>инструктажи</w:t>
      </w:r>
    </w:p>
    <w:p w:rsidR="004A410C" w:rsidRPr="004A410C" w:rsidRDefault="004A410C" w:rsidP="004A410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Чекап</w:t>
      </w:r>
      <w:proofErr w:type="spell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инструктажей </w:t>
      </w:r>
      <w:proofErr w:type="gram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по</w:t>
      </w:r>
      <w:proofErr w:type="gram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 ОТ. Сверьтесь с </w:t>
      </w:r>
      <w:proofErr w:type="spell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чек</w:t>
      </w:r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noBreakHyphen/>
        <w:t>листами</w:t>
      </w:r>
      <w:proofErr w:type="spell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gram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от</w:t>
      </w:r>
      <w:proofErr w:type="gram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 </w:t>
      </w:r>
      <w:proofErr w:type="gramStart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ГИТ</w:t>
      </w:r>
      <w:proofErr w:type="gramEnd"/>
      <w:r w:rsidRPr="004A41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, чтобы без ошибок инструктировать работников по новым Правилам</w:t>
      </w:r>
    </w:p>
    <w:p w:rsidR="004A410C" w:rsidRPr="004A410C" w:rsidRDefault="004A410C" w:rsidP="004A4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22755" cy="1616075"/>
            <wp:effectExtent l="0" t="0" r="0" b="0"/>
            <wp:docPr id="1" name="Рисунок 1" descr="https://e.profkiosk.ru/service_tbn2/8axe2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.profkiosk.ru/service_tbn2/8axe2d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161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Pr="004A410C" w:rsidRDefault="004A410C" w:rsidP="004A4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10C">
        <w:rPr>
          <w:rFonts w:ascii="Times New Roman" w:eastAsia="Times New Roman" w:hAnsi="Times New Roman" w:cs="Times New Roman"/>
          <w:sz w:val="24"/>
          <w:szCs w:val="24"/>
        </w:rPr>
        <w:t>Екатерина СИТЬКО, главный редактор журнала «Справочник специалиста по охране труда»</w:t>
      </w:r>
    </w:p>
    <w:p w:rsidR="004A410C" w:rsidRPr="004A410C" w:rsidRDefault="004A410C" w:rsidP="004A4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410C">
        <w:rPr>
          <w:rFonts w:ascii="Times New Roman" w:eastAsia="Times New Roman" w:hAnsi="Times New Roman" w:cs="Times New Roman"/>
          <w:sz w:val="24"/>
          <w:szCs w:val="24"/>
        </w:rPr>
        <w:t>Забирайте алгоритмы по всем видам инструктажей по ОТ и </w:t>
      </w:r>
      <w:proofErr w:type="spellStart"/>
      <w:r w:rsidRPr="004A410C">
        <w:rPr>
          <w:rFonts w:ascii="Times New Roman" w:eastAsia="Times New Roman" w:hAnsi="Times New Roman" w:cs="Times New Roman"/>
          <w:sz w:val="24"/>
          <w:szCs w:val="24"/>
        </w:rPr>
        <w:t>чек-листы</w:t>
      </w:r>
      <w:proofErr w:type="spellEnd"/>
      <w:r w:rsidRPr="004A410C">
        <w:rPr>
          <w:rFonts w:ascii="Times New Roman" w:eastAsia="Times New Roman" w:hAnsi="Times New Roman" w:cs="Times New Roman"/>
          <w:sz w:val="24"/>
          <w:szCs w:val="24"/>
        </w:rPr>
        <w:t xml:space="preserve"> от ГИТ, чтобы проверить порядок процедуры на своем предприятии.</w:t>
      </w:r>
      <w:proofErr w:type="gramEnd"/>
      <w:r w:rsidRPr="004A410C">
        <w:rPr>
          <w:rFonts w:ascii="Times New Roman" w:eastAsia="Times New Roman" w:hAnsi="Times New Roman" w:cs="Times New Roman"/>
          <w:sz w:val="24"/>
          <w:szCs w:val="24"/>
        </w:rPr>
        <w:t xml:space="preserve"> Разберетесь, как установить порядок проведения инструктажей, кого от них можно освободить и какие локальные документы использовать для регистрации. А если хотите разобраться, что именно изменилось в требованиях к инструктажам по сравнению с прежним Порядком обучения 1/29, пообщайтесь с интерактивным помощником. </w:t>
      </w:r>
    </w:p>
    <w:p w:rsidR="004A410C" w:rsidRPr="004A410C" w:rsidRDefault="004A410C" w:rsidP="004A410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A410C">
        <w:rPr>
          <w:rFonts w:ascii="Times New Roman" w:eastAsia="Times New Roman" w:hAnsi="Times New Roman" w:cs="Times New Roman"/>
          <w:sz w:val="24"/>
          <w:szCs w:val="24"/>
        </w:rPr>
        <w:t>Специалист по ОТ проводит вводный инструктаж и отвечает за координацию ответственных при проведении остальных видов инструктажей по охране труда.</w:t>
      </w:r>
      <w:proofErr w:type="gramEnd"/>
      <w:r w:rsidRPr="004A410C">
        <w:rPr>
          <w:rFonts w:ascii="Times New Roman" w:eastAsia="Times New Roman" w:hAnsi="Times New Roman" w:cs="Times New Roman"/>
          <w:sz w:val="24"/>
          <w:szCs w:val="24"/>
        </w:rPr>
        <w:t xml:space="preserve"> Чтобы ответственные правильно проводили инструктажи по новым правилам, пропишите их порядок в локальных документах. Например, в положении о СУОТ либо в положении о порядке обучения </w:t>
      </w:r>
      <w:proofErr w:type="gramStart"/>
      <w:r w:rsidRPr="004A410C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4A410C">
        <w:rPr>
          <w:rFonts w:ascii="Times New Roman" w:eastAsia="Times New Roman" w:hAnsi="Times New Roman" w:cs="Times New Roman"/>
          <w:sz w:val="24"/>
          <w:szCs w:val="24"/>
        </w:rPr>
        <w:t> ОТ. Чем подробнее опишете процедуру в документе, тем проще ответственным будет выполнять ее без ошибок. Когда прочитаете статью, разберетесь, на какие моменты обратить внимание, когда организуете и контролируете проведение инструктажей.</w:t>
      </w:r>
    </w:p>
    <w:p w:rsidR="004A410C" w:rsidRDefault="004A410C" w:rsidP="004A410C">
      <w:pPr>
        <w:pStyle w:val="2"/>
        <w:shd w:val="clear" w:color="auto" w:fill="FFFFFF"/>
      </w:pPr>
      <w:r>
        <w:t>Вводный инструктаж</w:t>
      </w:r>
    </w:p>
    <w:p w:rsidR="004A410C" w:rsidRDefault="004A410C" w:rsidP="004A410C">
      <w:pPr>
        <w:pStyle w:val="a3"/>
        <w:shd w:val="clear" w:color="auto" w:fill="FFFFFF"/>
      </w:pPr>
      <w:r>
        <w:t xml:space="preserve">Пропишите в локальном документе, когда и где будет проходить вводный инструктаж. Также укажите, кто проводит вводный </w:t>
      </w:r>
      <w:proofErr w:type="gramStart"/>
      <w:r>
        <w:t>инструктаж</w:t>
      </w:r>
      <w:proofErr w:type="gramEnd"/>
      <w:r>
        <w:t xml:space="preserve"> и </w:t>
      </w:r>
      <w:proofErr w:type="gramStart"/>
      <w:r>
        <w:t>какие</w:t>
      </w:r>
      <w:proofErr w:type="gramEnd"/>
      <w:r>
        <w:t xml:space="preserve"> документы он при этом должен использовать.</w:t>
      </w:r>
    </w:p>
    <w:p w:rsidR="004A410C" w:rsidRDefault="004A410C" w:rsidP="004A410C">
      <w:pPr>
        <w:shd w:val="clear" w:color="auto" w:fill="FFFFFF"/>
      </w:pPr>
      <w:r>
        <w:rPr>
          <w:noProof/>
        </w:rPr>
        <w:drawing>
          <wp:inline distT="0" distB="0" distL="0" distR="0">
            <wp:extent cx="680720" cy="669925"/>
            <wp:effectExtent l="19050" t="0" r="5080" b="0"/>
            <wp:docPr id="3" name="Рисунок 3" descr="https://e.profkiosk.ru/service_tbn2/nz63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.profkiosk.ru/service_tbn2/nz63j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Default="004A410C" w:rsidP="004A410C">
      <w:pPr>
        <w:pStyle w:val="3"/>
        <w:shd w:val="clear" w:color="auto" w:fill="FFFFFF"/>
      </w:pPr>
      <w:r>
        <w:rPr>
          <w:rStyle w:val="red"/>
        </w:rPr>
        <w:lastRenderedPageBreak/>
        <w:t>Важно</w:t>
      </w:r>
    </w:p>
    <w:p w:rsidR="004A410C" w:rsidRDefault="004A410C" w:rsidP="004A410C">
      <w:pPr>
        <w:pStyle w:val="a3"/>
        <w:shd w:val="clear" w:color="auto" w:fill="FFFFFF"/>
      </w:pPr>
      <w:proofErr w:type="gramStart"/>
      <w:r>
        <w:t>Ответственные</w:t>
      </w:r>
      <w:proofErr w:type="gramEnd"/>
      <w:r>
        <w:t xml:space="preserve"> за проведение инструктажей проходят обучение требованиям ОТ в аккредитованном учебном центре (</w:t>
      </w:r>
      <w:hyperlink r:id="rId7" w:anchor="/document/99/727688582/XA00M8Q2N7/" w:tgtFrame="_blank" w:history="1">
        <w:r>
          <w:rPr>
            <w:rStyle w:val="a4"/>
          </w:rPr>
          <w:t>п. 44</w:t>
        </w:r>
      </w:hyperlink>
      <w:r>
        <w:t> Правил 2464)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 xml:space="preserve">Разработайте приказ о назначении </w:t>
      </w:r>
      <w:proofErr w:type="gramStart"/>
      <w:r>
        <w:rPr>
          <w:b/>
          <w:bCs/>
        </w:rPr>
        <w:t>ответственных</w:t>
      </w:r>
      <w:proofErr w:type="gramEnd"/>
      <w:r>
        <w:rPr>
          <w:b/>
          <w:bCs/>
        </w:rPr>
        <w:t xml:space="preserve">. </w:t>
      </w:r>
      <w:proofErr w:type="gramStart"/>
      <w:r>
        <w:t>Вводный инструктаж, как и раньше, проводит специалист по ОТ или другой работник, которого назначили приказом.</w:t>
      </w:r>
      <w:proofErr w:type="gramEnd"/>
      <w:r>
        <w:t xml:space="preserve"> В случаях, когда у работодателя нет специалиста </w:t>
      </w:r>
      <w:proofErr w:type="gramStart"/>
      <w:r>
        <w:t>по</w:t>
      </w:r>
      <w:proofErr w:type="gramEnd"/>
      <w:r>
        <w:t> </w:t>
      </w:r>
      <w:proofErr w:type="gramStart"/>
      <w:r>
        <w:t>ОТ</w:t>
      </w:r>
      <w:proofErr w:type="gramEnd"/>
      <w:r>
        <w:t>, разрешили привлекать для проведения вводного инструктажа организацию или ИП, которые оказывают услуги по ОТ по договору ГПХ (</w:t>
      </w:r>
      <w:hyperlink r:id="rId8" w:anchor="/document/99/727688582/XA00MA42N8/" w:history="1">
        <w:r>
          <w:rPr>
            <w:rStyle w:val="a4"/>
          </w:rPr>
          <w:t>п. 11</w:t>
        </w:r>
      </w:hyperlink>
      <w:r>
        <w:t> Правил обучения, утв. постановлением Правительства от 24.12.2021 № 2464, далее — Правила 2464). В приказе обязательно назначьте лиц, которые будут замещать ответственного на период отпуска или болезни/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Наладьте коммуникации с другими подразделениями.</w:t>
      </w:r>
      <w:r>
        <w:t xml:space="preserve"> Вводный инструктаж проводят для всех вновь принятых работников и для иных лиц, которые участвуют в производственной деятельности организации. Чтобы никого не пропустить, наладьте коммуникацию с отделом кадров. К примеру, закрепите в локальных документах за руководителем отдела кадров обязанность направлять новых работников, командированных в организацию или практикантов на инструктаж в службу </w:t>
      </w:r>
      <w:proofErr w:type="gramStart"/>
      <w:r>
        <w:t>ОТ</w:t>
      </w:r>
      <w:proofErr w:type="gramEnd"/>
      <w:r>
        <w:t>.</w:t>
      </w:r>
    </w:p>
    <w:p w:rsidR="004A410C" w:rsidRDefault="004A410C" w:rsidP="004A410C">
      <w:pPr>
        <w:pStyle w:val="a3"/>
        <w:shd w:val="clear" w:color="auto" w:fill="FFFFFF"/>
      </w:pPr>
      <w:r>
        <w:t xml:space="preserve">Работники подрядных организаций участвуют в производственной деятельности, поэтому им нужно проводить вводный инструктаж. Рекомендуем закрепить эту обязанность за работниками, которые напрямую взаимодействуют с подрядчиками. Функцию можно передать коллегам, которые отвечают за безопасность на конкретных участках и прошли обучение </w:t>
      </w:r>
      <w:proofErr w:type="gramStart"/>
      <w:r>
        <w:t>по</w:t>
      </w:r>
      <w:proofErr w:type="gramEnd"/>
      <w:r>
        <w:t> ОТ в учебном центре. От вас потребуется подготовить документы для инструктажа, а также прописать обязанность в СУОТ и проследить, чтобы отдел кадров добавил ее в должностные инструкции ответственных исполнителей.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Подготовьте и утвердите программу вводного инструктажа.</w:t>
      </w:r>
      <w:r>
        <w:t xml:space="preserve"> Используйте примерный перечень тем из </w:t>
      </w:r>
      <w:hyperlink r:id="rId9" w:anchor="/document/99/727688582/XA00M7K2MG/" w:tgtFrame="_blank" w:history="1">
        <w:r>
          <w:rPr>
            <w:rStyle w:val="a4"/>
          </w:rPr>
          <w:t>приложения 1</w:t>
        </w:r>
      </w:hyperlink>
      <w:r>
        <w:t> к Правилам 2464, учитывайте специфику деятельности организации. Когда в организации есть работники, которых освобождаете от первичного инструктажа, включите информацию о безопасных методах и приемах выполнения работ в программу вводного инструктажа. Это может быть отдельная программа для освобожденных работников либо дополнительный блок в общей программе.</w:t>
      </w:r>
    </w:p>
    <w:p w:rsidR="004A410C" w:rsidRDefault="004A410C" w:rsidP="004A410C">
      <w:pPr>
        <w:shd w:val="clear" w:color="auto" w:fill="FFFFFF"/>
      </w:pPr>
      <w:r>
        <w:t xml:space="preserve">Образцы документов, которые нужны для проведения и оформления инструктажей, </w:t>
      </w:r>
      <w:hyperlink r:id="rId10" w:anchor="/document/189/993061/" w:history="1">
        <w:r>
          <w:rPr>
            <w:rStyle w:val="a4"/>
          </w:rPr>
          <w:t>здесь</w:t>
        </w:r>
      </w:hyperlink>
    </w:p>
    <w:p w:rsidR="004A410C" w:rsidRDefault="004A410C" w:rsidP="004A410C">
      <w:pPr>
        <w:pStyle w:val="a3"/>
        <w:shd w:val="clear" w:color="auto" w:fill="FFFFFF"/>
      </w:pPr>
      <w:r>
        <w:t>Помните, что в </w:t>
      </w:r>
      <w:hyperlink r:id="rId11" w:anchor="/document/99/727688582/XA00M7K2MG/" w:tgtFrame="_blank" w:history="1">
        <w:r>
          <w:rPr>
            <w:rStyle w:val="a4"/>
          </w:rPr>
          <w:t>приложении 1</w:t>
        </w:r>
      </w:hyperlink>
      <w:r>
        <w:t xml:space="preserve"> к Правилам 2464 указали примерный перечень тем для вводного инструктажа. При необходимости вы обязаны его расширить. Например, если на предприятии применяют </w:t>
      </w:r>
      <w:proofErr w:type="gramStart"/>
      <w:r>
        <w:t>СИЗ</w:t>
      </w:r>
      <w:proofErr w:type="gramEnd"/>
      <w:r>
        <w:t>, на вводном инструктаже нужно рассказать работникам, какие средства защиты им полагаются согласно типовым нормам (</w:t>
      </w:r>
      <w:hyperlink r:id="rId12" w:anchor="/document/99/902161801/ZAP21O63CV/" w:history="1">
        <w:r>
          <w:rPr>
            <w:rStyle w:val="a4"/>
          </w:rPr>
          <w:t>п. 9</w:t>
        </w:r>
      </w:hyperlink>
      <w:r>
        <w:t xml:space="preserve"> Правил, утв. приказом </w:t>
      </w:r>
      <w:proofErr w:type="spellStart"/>
      <w:r>
        <w:t>Минздравсоцразвития</w:t>
      </w:r>
      <w:proofErr w:type="spellEnd"/>
      <w:r>
        <w:t xml:space="preserve"> от 01.06.2009 № 290н). Также если работникам положено ЛПП, информацию о правилах выдачи включите в программу вводного инструктажа (</w:t>
      </w:r>
      <w:hyperlink r:id="rId13" w:anchor="/document/99/350505366/XA00MA02N0/" w:tgtFrame="_blank" w:history="1">
        <w:r>
          <w:rPr>
            <w:rStyle w:val="a4"/>
          </w:rPr>
          <w:t>п. 20 приложения 3</w:t>
        </w:r>
      </w:hyperlink>
      <w:r>
        <w:t> к приказу Минтруда от 16.05.2022 № 298н).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 xml:space="preserve">Инструктируйте работников по подготовленным материалам. </w:t>
      </w:r>
      <w:r>
        <w:t>Хорошая практика — визуализировать информацию при проведении инструктажа. Подкрепляйте слова материалами расследования, памятками, видеороликами, наглядными схемами, например, безопасного передвижения по территории организации.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Проводите проверку знаний.</w:t>
      </w:r>
      <w:r>
        <w:t xml:space="preserve"> Если у работника остались вопросы в конце инструктажа, сначала ответьте на них, а потом проведите устную или письменную проверку знаний </w:t>
      </w:r>
      <w:r>
        <w:lastRenderedPageBreak/>
        <w:t>в зависимости от того, какой вариант утвердили в локальном документе с порядком обучения. Форму проверки знаний после инструктажа работодатель определяет самостоятельно (</w:t>
      </w:r>
      <w:hyperlink r:id="rId14" w:anchor="/document/99/727688582/XA00MF82O2/" w:tgtFrame="_blank" w:history="1">
        <w:r>
          <w:rPr>
            <w:rStyle w:val="a4"/>
          </w:rPr>
          <w:t>п. 69</w:t>
        </w:r>
      </w:hyperlink>
      <w:r>
        <w:t> Правил 2464).</w:t>
      </w:r>
    </w:p>
    <w:p w:rsidR="004A410C" w:rsidRDefault="004A410C" w:rsidP="004A410C">
      <w:pPr>
        <w:pStyle w:val="3"/>
        <w:shd w:val="clear" w:color="auto" w:fill="FFFFFF"/>
      </w:pPr>
      <w:bookmarkStart w:id="0" w:name="11_01"/>
      <w:bookmarkEnd w:id="0"/>
      <w:r>
        <w:rPr>
          <w:rStyle w:val="red"/>
        </w:rPr>
        <w:t>Журналы инструктажей</w:t>
      </w:r>
    </w:p>
    <w:p w:rsidR="004A410C" w:rsidRDefault="004A410C" w:rsidP="004A410C">
      <w:pPr>
        <w:pStyle w:val="a3"/>
        <w:shd w:val="clear" w:color="auto" w:fill="FFFFFF"/>
      </w:pPr>
      <w:r>
        <w:rPr>
          <w:noProof/>
          <w:color w:val="0000FF"/>
        </w:rPr>
        <w:drawing>
          <wp:inline distT="0" distB="0" distL="0" distR="0">
            <wp:extent cx="3806190" cy="2232660"/>
            <wp:effectExtent l="19050" t="0" r="3810" b="0"/>
            <wp:docPr id="4" name="Рисунок 4" descr="https://e.profkiosk.ru/service_tbn2/kr_xpy.jpg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.profkiosk.ru/service_tbn2/kr_xpy.jpg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232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Default="004A410C" w:rsidP="004A410C">
      <w:pPr>
        <w:pStyle w:val="a3"/>
        <w:shd w:val="clear" w:color="auto" w:fill="FFFFFF"/>
      </w:pPr>
      <w:r>
        <w:t>Кликните по картинке, чтобы ее увеличить</w:t>
      </w:r>
    </w:p>
    <w:p w:rsidR="004A410C" w:rsidRDefault="00FC77AD" w:rsidP="004A410C">
      <w:pPr>
        <w:pStyle w:val="a3"/>
        <w:shd w:val="clear" w:color="auto" w:fill="FFFFFF"/>
      </w:pPr>
      <w:hyperlink r:id="rId17" w:tgtFrame="_blank" w:history="1">
        <w:r w:rsidR="004A410C">
          <w:rPr>
            <w:rStyle w:val="a4"/>
          </w:rPr>
          <w:t>Скачать журналы</w:t>
        </w:r>
      </w:hyperlink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Регистрируйте инструктаж.</w:t>
      </w:r>
      <w:r>
        <w:t xml:space="preserve"> </w:t>
      </w:r>
      <w:proofErr w:type="gramStart"/>
      <w:r>
        <w:t>Вводный инструктаж, как правило, проводит специалист по ОТ, поэтому выберите удобный для себя вариант его регистрации.</w:t>
      </w:r>
      <w:proofErr w:type="gramEnd"/>
      <w:r>
        <w:t xml:space="preserve"> Хоть Правила 2464 не требуют регистрировать инструктажи в журнале, мы рекомендуем не отказываться от привычной формы. Так как наличие вводного инструктажа — ваша ответственность, то и безопасней будет вариант, когда журнал с подписями работников будете хранить в службе </w:t>
      </w:r>
      <w:proofErr w:type="gramStart"/>
      <w:r>
        <w:t>ОТ</w:t>
      </w:r>
      <w:proofErr w:type="gramEnd"/>
      <w:r>
        <w:t>. Если перейдете на личные карточки или книжки, хранить их будут непосредственные руководители, что увеличит вероятность потери документа.</w:t>
      </w:r>
    </w:p>
    <w:p w:rsidR="004A410C" w:rsidRDefault="004A410C" w:rsidP="004A410C">
      <w:pPr>
        <w:pStyle w:val="2"/>
        <w:shd w:val="clear" w:color="auto" w:fill="FFFFFF"/>
      </w:pPr>
      <w:r>
        <w:t>Первичный и повторный инструктажи</w:t>
      </w:r>
    </w:p>
    <w:p w:rsidR="004A410C" w:rsidRDefault="004A410C" w:rsidP="004A410C">
      <w:pPr>
        <w:pStyle w:val="a3"/>
        <w:shd w:val="clear" w:color="auto" w:fill="FFFFFF"/>
      </w:pPr>
      <w:r>
        <w:t>Пропишите в локальном документе, кто и когда проводит первичный и повторные инструктажи на рабочем месте. Установите периодичность, формы и методы проведения инструктажей, а также требования к их содержанию. Утвердите формы документов, в которых ответственные должны регистрировать инструктажи. Форму разработайте в соответствии с </w:t>
      </w:r>
      <w:hyperlink r:id="rId18" w:anchor="/document/99/727688582/XA00MBA2MS/" w:tgtFrame="_blank" w:history="1">
        <w:r>
          <w:rPr>
            <w:rStyle w:val="a4"/>
          </w:rPr>
          <w:t>пунктом 87</w:t>
        </w:r>
      </w:hyperlink>
      <w:r>
        <w:t> Правил 2464.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Определите, кого можно освободить от первичного инструктажа.</w:t>
      </w:r>
      <w:r>
        <w:t xml:space="preserve"> Разработайте и утвердите перечень профессий и должностей работников, освобожденных от первичного инструктажа на рабочем месте, и подготовьте локальный акт, в котором укажите общее количество освобожденных (</w:t>
      </w:r>
      <w:proofErr w:type="spellStart"/>
      <w:r w:rsidR="00FC77AD">
        <w:fldChar w:fldCharType="begin"/>
      </w:r>
      <w:r>
        <w:instrText xml:space="preserve"> HYPERLINK "https://1otruda.ru/" \l "/document/99/727688582/XA00M7U2MN/" \t "_blank" </w:instrText>
      </w:r>
      <w:r w:rsidR="00FC77AD">
        <w:fldChar w:fldCharType="separate"/>
      </w:r>
      <w:r>
        <w:rPr>
          <w:rStyle w:val="a4"/>
        </w:rPr>
        <w:t>пп</w:t>
      </w:r>
      <w:proofErr w:type="spellEnd"/>
      <w:r>
        <w:rPr>
          <w:rStyle w:val="a4"/>
        </w:rPr>
        <w:t>. 13</w:t>
      </w:r>
      <w:r w:rsidR="00FC77AD">
        <w:fldChar w:fldCharType="end"/>
      </w:r>
      <w:r>
        <w:t xml:space="preserve">, </w:t>
      </w:r>
      <w:hyperlink r:id="rId19" w:anchor="/document/99/727688582/XA00M9M2NG/" w:tgtFrame="_blank" w:history="1">
        <w:r>
          <w:rPr>
            <w:rStyle w:val="a4"/>
          </w:rPr>
          <w:t>83</w:t>
        </w:r>
      </w:hyperlink>
      <w:r>
        <w:t> Правил 2464). Кого можно освободить смотрите в памятке.</w:t>
      </w:r>
    </w:p>
    <w:p w:rsidR="004A410C" w:rsidRDefault="004A410C" w:rsidP="004A410C">
      <w:pPr>
        <w:pStyle w:val="3"/>
        <w:shd w:val="clear" w:color="auto" w:fill="FFFFFF"/>
      </w:pPr>
      <w:r>
        <w:rPr>
          <w:noProof/>
        </w:rPr>
        <w:drawing>
          <wp:inline distT="0" distB="0" distL="0" distR="0">
            <wp:extent cx="287020" cy="287020"/>
            <wp:effectExtent l="19050" t="0" r="0" b="0"/>
            <wp:docPr id="5" name="Рисунок 5" descr="https://e.profkiosk.ru/service_tbn2/xvnuf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.profkiosk.ru/service_tbn2/xvnufg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red"/>
        </w:rPr>
        <w:t>Скачать:</w:t>
      </w:r>
    </w:p>
    <w:p w:rsidR="004A410C" w:rsidRDefault="00FC77AD" w:rsidP="004A410C">
      <w:pPr>
        <w:pStyle w:val="a3"/>
        <w:shd w:val="clear" w:color="auto" w:fill="FFFFFF"/>
      </w:pPr>
      <w:hyperlink r:id="rId21" w:tgtFrame="_blank" w:history="1">
        <w:r w:rsidR="004A410C">
          <w:rPr>
            <w:rStyle w:val="a4"/>
          </w:rPr>
          <w:t>Памятка</w:t>
        </w:r>
      </w:hyperlink>
    </w:p>
    <w:p w:rsidR="004A410C" w:rsidRDefault="004A410C" w:rsidP="004A410C">
      <w:pPr>
        <w:pStyle w:val="a3"/>
        <w:shd w:val="clear" w:color="auto" w:fill="FFFFFF"/>
      </w:pPr>
      <w:r>
        <w:t>Если памятка не отображается, обновите страницу — нажмите F5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lastRenderedPageBreak/>
        <w:t xml:space="preserve">Назначьте </w:t>
      </w:r>
      <w:proofErr w:type="gramStart"/>
      <w:r>
        <w:rPr>
          <w:b/>
          <w:bCs/>
        </w:rPr>
        <w:t>ответственных</w:t>
      </w:r>
      <w:proofErr w:type="gramEnd"/>
      <w:r>
        <w:rPr>
          <w:b/>
          <w:bCs/>
        </w:rPr>
        <w:t xml:space="preserve"> за инструктажи. </w:t>
      </w:r>
      <w:r>
        <w:t>По новым Правилам 2464 работников инструктируют непосредственные руководители, а не руководители структурных подразделений (</w:t>
      </w:r>
      <w:hyperlink r:id="rId22" w:anchor="/document/99/727688582/XA00MBK2NE/" w:tgtFrame="_blank" w:history="1">
        <w:r>
          <w:rPr>
            <w:rStyle w:val="a4"/>
          </w:rPr>
          <w:t>п. 22</w:t>
        </w:r>
      </w:hyperlink>
      <w:r>
        <w:t xml:space="preserve"> Правил 2464). </w:t>
      </w:r>
      <w:proofErr w:type="gramStart"/>
      <w:r>
        <w:t>Ответственных</w:t>
      </w:r>
      <w:proofErr w:type="gramEnd"/>
      <w:r>
        <w:t xml:space="preserve"> за инструктажи после обучения в учебном центре назначьте приказом. В документе укажите, по каким правилам или инструкциям, когда, кому и с какой периодичностью проводить инструктаж. Также пропишите обязанность регистрировать инструктаж по установленной форме. Обязательно назначьте лиц, которые будут замещать ответственного на период отпуска или болезни.</w:t>
      </w:r>
    </w:p>
    <w:p w:rsidR="004A410C" w:rsidRDefault="004A410C" w:rsidP="004A410C">
      <w:pPr>
        <w:shd w:val="clear" w:color="auto" w:fill="FFFFFF"/>
      </w:pPr>
      <w:r>
        <w:rPr>
          <w:noProof/>
        </w:rPr>
        <w:drawing>
          <wp:inline distT="0" distB="0" distL="0" distR="0">
            <wp:extent cx="680720" cy="669925"/>
            <wp:effectExtent l="19050" t="0" r="5080" b="0"/>
            <wp:docPr id="6" name="Рисунок 6" descr="https://e.profkiosk.ru/service_tbn2/3emi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e.profkiosk.ru/service_tbn2/3emif0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Default="004A410C" w:rsidP="004A410C">
      <w:pPr>
        <w:pStyle w:val="3"/>
        <w:shd w:val="clear" w:color="auto" w:fill="FFFFFF"/>
      </w:pPr>
      <w:r>
        <w:rPr>
          <w:rStyle w:val="red"/>
        </w:rPr>
        <w:t>Обратите внимание</w:t>
      </w:r>
    </w:p>
    <w:p w:rsidR="004A410C" w:rsidRDefault="004A410C" w:rsidP="004A410C">
      <w:pPr>
        <w:pStyle w:val="a3"/>
        <w:shd w:val="clear" w:color="auto" w:fill="FFFFFF"/>
      </w:pPr>
      <w:r>
        <w:t>Повторный инструктаж не проводят для работников, которых освободили от прохождения первичного инструктажа (</w:t>
      </w:r>
      <w:hyperlink r:id="rId24" w:anchor="/document/99/727688582/XA00M9G2N4/" w:tgtFrame="_blank" w:history="1">
        <w:r>
          <w:rPr>
            <w:rStyle w:val="a4"/>
          </w:rPr>
          <w:t>п. 15</w:t>
        </w:r>
      </w:hyperlink>
      <w:r>
        <w:t> Правил 2464)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 xml:space="preserve">Проверьте содержание инструкций и правил </w:t>
      </w:r>
      <w:proofErr w:type="gramStart"/>
      <w:r>
        <w:rPr>
          <w:b/>
          <w:bCs/>
        </w:rPr>
        <w:t>по</w:t>
      </w:r>
      <w:proofErr w:type="gramEnd"/>
      <w:r>
        <w:rPr>
          <w:b/>
          <w:bCs/>
        </w:rPr>
        <w:t xml:space="preserve"> ОТ. </w:t>
      </w:r>
      <w:r>
        <w:t xml:space="preserve">Инструктаж на рабочем месте ответственные проводят по разработанным в организации инструкциям и правилам </w:t>
      </w:r>
      <w:proofErr w:type="gramStart"/>
      <w:r>
        <w:t>по</w:t>
      </w:r>
      <w:proofErr w:type="gramEnd"/>
      <w:r>
        <w:t> ОТ. Проверьте, чтобы в инструкциях были прописаны правила безопасной работы с оборудованием, которое применяют на рабочих местах, с учетом требований технической документации завода-изготовителя.  </w:t>
      </w:r>
    </w:p>
    <w:p w:rsidR="004A410C" w:rsidRDefault="004A410C" w:rsidP="004A410C">
      <w:pPr>
        <w:pStyle w:val="a3"/>
        <w:shd w:val="clear" w:color="auto" w:fill="FFFFFF"/>
      </w:pPr>
      <w:r>
        <w:t>Требование учитывать документы организации-изготовителя на конкретные виды оборудования закрепили почти во всех правилах по охране труда. Например, ПОТ № 835н обязывают разрабатывать инструкции на основе технической документации организации-изготовителя на конкретные виды инструмента и приспособлений (</w:t>
      </w:r>
      <w:hyperlink r:id="rId25" w:anchor="/document/99/573068704/XA00M9K2N6/" w:tgtFrame="_blank" w:history="1">
        <w:r>
          <w:rPr>
            <w:rStyle w:val="a4"/>
          </w:rPr>
          <w:t>п. 5</w:t>
        </w:r>
      </w:hyperlink>
      <w:r>
        <w:t xml:space="preserve"> ПОТ, утв. приказом Минтруда от 27.11.2020 № 835н). Поэтому если в инструкциях </w:t>
      </w:r>
      <w:proofErr w:type="gramStart"/>
      <w:r>
        <w:t>по</w:t>
      </w:r>
      <w:proofErr w:type="gramEnd"/>
      <w:r>
        <w:t> </w:t>
      </w:r>
      <w:proofErr w:type="gramStart"/>
      <w:r>
        <w:t>ОТ</w:t>
      </w:r>
      <w:proofErr w:type="gramEnd"/>
      <w:r>
        <w:t xml:space="preserve"> не прописали порядок безопасной работы с учетом документов изготовителя, ГИТ признает, что инструктаж провели не в полном объеме.</w:t>
      </w:r>
    </w:p>
    <w:p w:rsidR="004A410C" w:rsidRDefault="004A410C" w:rsidP="004A410C">
      <w:pPr>
        <w:pStyle w:val="a3"/>
        <w:shd w:val="clear" w:color="auto" w:fill="FFFFFF"/>
      </w:pPr>
      <w:r>
        <w:t xml:space="preserve">На инструктаже работников нужно ознакомить с условиями труда, вредными и опасными производственными факторами, источниками опасности, которые установили на их рабочих местах по результатам СОУТ и оценки </w:t>
      </w:r>
      <w:proofErr w:type="spellStart"/>
      <w:r>
        <w:t>профрисков</w:t>
      </w:r>
      <w:proofErr w:type="spellEnd"/>
      <w:r>
        <w:t xml:space="preserve"> (</w:t>
      </w:r>
      <w:hyperlink r:id="rId26" w:anchor="/document/99/727688582/XA00MBK2NE/" w:tgtFrame="_blank" w:history="1">
        <w:r>
          <w:rPr>
            <w:rStyle w:val="a4"/>
          </w:rPr>
          <w:t>п. 22</w:t>
        </w:r>
      </w:hyperlink>
      <w:r>
        <w:t> Правил 2464). Поэтому проследите, что материалы для проведения инструктажа содержат такую информацию.</w:t>
      </w:r>
    </w:p>
    <w:p w:rsidR="004A410C" w:rsidRDefault="004A410C" w:rsidP="004A410C">
      <w:pPr>
        <w:pStyle w:val="a3"/>
        <w:shd w:val="clear" w:color="auto" w:fill="FFFFFF"/>
      </w:pPr>
      <w:r>
        <w:rPr>
          <w:noProof/>
          <w:color w:val="0000FF"/>
        </w:rPr>
        <w:lastRenderedPageBreak/>
        <w:drawing>
          <wp:inline distT="0" distB="0" distL="0" distR="0">
            <wp:extent cx="2615565" cy="4242435"/>
            <wp:effectExtent l="19050" t="0" r="0" b="0"/>
            <wp:docPr id="7" name="Рисунок 7" descr="https://e.profkiosk.ru/service_tbn2/l2vnhm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.profkiosk.ru/service_tbn2/l2vnhm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424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 xml:space="preserve">Окажите методическую помощь непосредственным руководителям. </w:t>
      </w:r>
      <w:r>
        <w:t xml:space="preserve">Подготовьте методические материалы, которые непосредственные руководители могут использовать на инструктажах. Это могут быть методички, плакаты, брошюры, памятки, например, по оказанию первой помощи пострадавшим. Напомните </w:t>
      </w:r>
      <w:proofErr w:type="gramStart"/>
      <w:r>
        <w:t>ответственным</w:t>
      </w:r>
      <w:proofErr w:type="gramEnd"/>
      <w:r>
        <w:t>, если работники применяют СИЗ, для которых не требуются практические навыки, в инструктаж на рабочем месте нужно включать способы проверки работоспособности и исправности таких средств защиты (</w:t>
      </w:r>
      <w:hyperlink r:id="rId29" w:anchor="/document/99/727688582/XA00M342MB/" w:tgtFrame="_blank" w:history="1">
        <w:r>
          <w:rPr>
            <w:rStyle w:val="a4"/>
          </w:rPr>
          <w:t>п. 38</w:t>
        </w:r>
      </w:hyperlink>
      <w:r>
        <w:t> Правил 2464).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 xml:space="preserve">Контролируйте проведение инструктажей. </w:t>
      </w:r>
      <w:r>
        <w:t>Проверяйте, чтобы ответственные своевременно проводили инструктажи и правильно их регистрировали. Первичный инструктаж на рабочем месте проводят до начала самостоятельной работы, а повторный не реже одного раза в 6 месяцев (</w:t>
      </w:r>
      <w:proofErr w:type="spellStart"/>
      <w:r w:rsidR="00FC77AD">
        <w:fldChar w:fldCharType="begin"/>
      </w:r>
      <w:r>
        <w:instrText xml:space="preserve"> HYPERLINK "https://1otruda.ru/" \l "/document/99/727688582/XA00M7U2MN/" \t "_blank" </w:instrText>
      </w:r>
      <w:r w:rsidR="00FC77AD">
        <w:fldChar w:fldCharType="separate"/>
      </w:r>
      <w:r>
        <w:rPr>
          <w:rStyle w:val="a4"/>
        </w:rPr>
        <w:t>пп</w:t>
      </w:r>
      <w:proofErr w:type="spellEnd"/>
      <w:r>
        <w:rPr>
          <w:rStyle w:val="a4"/>
        </w:rPr>
        <w:t>. 13, 14</w:t>
      </w:r>
      <w:r w:rsidR="00FC77AD">
        <w:fldChar w:fldCharType="end"/>
      </w:r>
      <w:r>
        <w:t> Правил 2464). Для контроля сроков обучения удобно использовать электронные программы, которые автоматически напомнят провести проверку.</w:t>
      </w:r>
    </w:p>
    <w:p w:rsidR="004A410C" w:rsidRDefault="004A410C" w:rsidP="004A410C">
      <w:pPr>
        <w:pStyle w:val="2"/>
        <w:shd w:val="clear" w:color="auto" w:fill="FFFFFF"/>
      </w:pPr>
      <w:r>
        <w:t>Внеплановый инструктаж</w:t>
      </w:r>
    </w:p>
    <w:p w:rsidR="004A410C" w:rsidRDefault="004A410C" w:rsidP="004A410C">
      <w:pPr>
        <w:pStyle w:val="a3"/>
        <w:shd w:val="clear" w:color="auto" w:fill="FFFFFF"/>
      </w:pPr>
      <w:r>
        <w:t>Пропишите в локальном документе, кто, когда и в какие сроки проводит внеплановый инструктаж. Укажите, кто и в каких случаях должен составлять перечень работников, для которых необходим внеплановый инструктаж. Утвердите формы документов, в которых ответственные должны регистрировать инструктаж. Форму разработайте в соответствии с </w:t>
      </w:r>
      <w:hyperlink r:id="rId30" w:anchor="/document/99/727688582/XA00MBA2MS/" w:tgtFrame="_blank" w:history="1">
        <w:r>
          <w:rPr>
            <w:rStyle w:val="a4"/>
          </w:rPr>
          <w:t>пунктом 87</w:t>
        </w:r>
      </w:hyperlink>
      <w:r>
        <w:t> Правил 2464.</w:t>
      </w:r>
    </w:p>
    <w:p w:rsidR="004A410C" w:rsidRDefault="004A410C" w:rsidP="004A410C">
      <w:pPr>
        <w:shd w:val="clear" w:color="auto" w:fill="FFFFFF"/>
      </w:pPr>
      <w:r>
        <w:rPr>
          <w:noProof/>
        </w:rPr>
        <w:drawing>
          <wp:inline distT="0" distB="0" distL="0" distR="0">
            <wp:extent cx="680720" cy="669925"/>
            <wp:effectExtent l="19050" t="0" r="5080" b="0"/>
            <wp:docPr id="8" name="Рисунок 8" descr="https://e.profkiosk.ru/service_tbn2/nz63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.profkiosk.ru/service_tbn2/nz63j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Default="004A410C" w:rsidP="004A410C">
      <w:pPr>
        <w:pStyle w:val="3"/>
        <w:shd w:val="clear" w:color="auto" w:fill="FFFFFF"/>
      </w:pPr>
      <w:r>
        <w:rPr>
          <w:rStyle w:val="red"/>
        </w:rPr>
        <w:lastRenderedPageBreak/>
        <w:t>Важно</w:t>
      </w:r>
    </w:p>
    <w:p w:rsidR="004A410C" w:rsidRDefault="004A410C" w:rsidP="004A410C">
      <w:pPr>
        <w:pStyle w:val="a3"/>
        <w:shd w:val="clear" w:color="auto" w:fill="FFFFFF"/>
      </w:pPr>
      <w:r>
        <w:t>Если при изменениях в НПА и локальных актах по </w:t>
      </w:r>
      <w:proofErr w:type="gramStart"/>
      <w:r>
        <w:t>ОТ</w:t>
      </w:r>
      <w:proofErr w:type="gramEnd"/>
      <w:r>
        <w:t xml:space="preserve"> проводят внеплановое обучение, внеплановый инструктаж можно не проводить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Определите, когда и с кем нужно провести инструктаж.</w:t>
      </w:r>
      <w:r>
        <w:t xml:space="preserve"> Организуйте внеплановый инструктаж работникам, когда:</w:t>
      </w:r>
    </w:p>
    <w:p w:rsidR="004A410C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изменили технологический процесс, оборудование, сырье, материалы или должностные обязанности, которые связаны с производственной деятельностью и влияют на безопасность;</w:t>
      </w:r>
    </w:p>
    <w:p w:rsidR="004A410C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 xml:space="preserve">изменились НПА и локальные акты </w:t>
      </w:r>
      <w:proofErr w:type="gramStart"/>
      <w:r>
        <w:t>по</w:t>
      </w:r>
      <w:proofErr w:type="gramEnd"/>
      <w:r>
        <w:t> ОТ;</w:t>
      </w:r>
    </w:p>
    <w:p w:rsidR="004A410C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выявили дополнительные производственные факторы и источники опасности;</w:t>
      </w:r>
    </w:p>
    <w:p w:rsidR="004A410C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есть требование от ГИТ при нарушениях требований </w:t>
      </w:r>
      <w:proofErr w:type="gramStart"/>
      <w:r>
        <w:t>ОТ</w:t>
      </w:r>
      <w:proofErr w:type="gramEnd"/>
      <w:r>
        <w:t>;</w:t>
      </w:r>
    </w:p>
    <w:p w:rsidR="004A410C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произошли аварии или несчастные случаи;</w:t>
      </w:r>
    </w:p>
    <w:p w:rsidR="004A410C" w:rsidRDefault="004A410C" w:rsidP="004A41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был перерыв в работе больше 60 календарных дней.</w:t>
      </w:r>
    </w:p>
    <w:p w:rsidR="004A410C" w:rsidRDefault="004A410C" w:rsidP="004A410C">
      <w:pPr>
        <w:pStyle w:val="a3"/>
        <w:shd w:val="clear" w:color="auto" w:fill="FFFFFF"/>
      </w:pPr>
      <w:r>
        <w:t xml:space="preserve">Работодатель вправе установить иные причины внепланового инструктажа. К примеру, назначить инструктаж вне плана для работника, который нарушает требования </w:t>
      </w:r>
      <w:proofErr w:type="gramStart"/>
      <w:r>
        <w:t>ОТ</w:t>
      </w:r>
      <w:proofErr w:type="gramEnd"/>
      <w:r>
        <w:t>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Составьте перечень работников, для которых нужен внеплановый инструктаж.</w:t>
      </w:r>
      <w:r>
        <w:t xml:space="preserve"> Он обязателен, если внеплановый инструктаж нужно провести после аварии или несчастного случая. В него включают руководителей и иных работников структурных подразделений, в которых произошла авария или несчастный случай, либо возможно аналогичное происшествие. В остальных случаях требования составлять отдельный перечень нет, но прописать, кому нужен </w:t>
      </w:r>
      <w:proofErr w:type="gramStart"/>
      <w:r>
        <w:t>внеплановой</w:t>
      </w:r>
      <w:proofErr w:type="gramEnd"/>
      <w:r>
        <w:t xml:space="preserve"> инструктаж, все равно придется в приказе или в приложении к нему.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Определите объем и содержание инструктажа.</w:t>
      </w:r>
      <w:r>
        <w:t xml:space="preserve"> Подготовьте документы, которые работники должны изучить для безопасного выполнения работ. Это могут быть уже действующие документы или новые, разработанные специально для внепланового инструктажа. Объем и содержание инструктажа определяют в зависимости от его причин. Например, если изменились НПА в сфере </w:t>
      </w:r>
      <w:proofErr w:type="gramStart"/>
      <w:r>
        <w:t>ОТ</w:t>
      </w:r>
      <w:proofErr w:type="gramEnd"/>
      <w:r>
        <w:t xml:space="preserve">, </w:t>
      </w:r>
      <w:proofErr w:type="gramStart"/>
      <w:r>
        <w:t>на</w:t>
      </w:r>
      <w:proofErr w:type="gramEnd"/>
      <w:r>
        <w:t> внеплановом инструктаже рассказывают только про те нововведения, которые непосредственно затрагивают трудовые функции работника.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Подготовьте приказ о проведении внепланового инструктажа.</w:t>
      </w:r>
      <w:r>
        <w:t xml:space="preserve"> В приказе указывают причину внепланового инструктажа со ссылками на законодательство, определяют его дату и время. Приказом назначают ответственного за проведение инструктажа и перечисляют контингент работников, которые должны его пройти. Внеплановый инструктаж проводит непосредственный руководитель, который прошел обучение требованиям </w:t>
      </w:r>
      <w:proofErr w:type="gramStart"/>
      <w:r>
        <w:t>ОТ</w:t>
      </w:r>
      <w:proofErr w:type="gramEnd"/>
      <w:r>
        <w:t xml:space="preserve"> в учебном центре.</w:t>
      </w:r>
    </w:p>
    <w:p w:rsidR="004A410C" w:rsidRDefault="004A410C" w:rsidP="004A410C">
      <w:pPr>
        <w:pStyle w:val="3"/>
        <w:shd w:val="clear" w:color="auto" w:fill="FFFFFF"/>
      </w:pPr>
      <w:r>
        <w:rPr>
          <w:noProof/>
        </w:rPr>
        <w:drawing>
          <wp:inline distT="0" distB="0" distL="0" distR="0">
            <wp:extent cx="287020" cy="287020"/>
            <wp:effectExtent l="19050" t="0" r="0" b="0"/>
            <wp:docPr id="9" name="Рисунок 9" descr="https://e.profkiosk.ru/service_tbn2/xvnuf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.profkiosk.ru/service_tbn2/xvnufg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red"/>
        </w:rPr>
        <w:t>Скачать:</w:t>
      </w:r>
    </w:p>
    <w:p w:rsidR="004A410C" w:rsidRDefault="00FC77AD" w:rsidP="004A410C">
      <w:pPr>
        <w:pStyle w:val="a3"/>
        <w:shd w:val="clear" w:color="auto" w:fill="FFFFFF"/>
      </w:pPr>
      <w:hyperlink r:id="rId31" w:tgtFrame="_blank" w:history="1">
        <w:r w:rsidR="004A410C">
          <w:rPr>
            <w:rStyle w:val="a4"/>
          </w:rPr>
          <w:t>Приказ</w:t>
        </w:r>
      </w:hyperlink>
    </w:p>
    <w:p w:rsidR="004A410C" w:rsidRDefault="004A410C" w:rsidP="004A410C">
      <w:pPr>
        <w:pStyle w:val="a3"/>
        <w:shd w:val="clear" w:color="auto" w:fill="FFFFFF"/>
      </w:pPr>
      <w:r>
        <w:t>Если приказ не отображается, обновите страницу — нажмите F5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 xml:space="preserve">Контролируйте проведение инструктажей. </w:t>
      </w:r>
      <w:r>
        <w:t xml:space="preserve">Проверяйте, чтобы ответственные своевременно проводили инструктажи и правильно их регистрировали. Внеплановый </w:t>
      </w:r>
      <w:r>
        <w:lastRenderedPageBreak/>
        <w:t>инструктаж проводят в сроки, которые установили в локальном акте работодателя (</w:t>
      </w:r>
      <w:hyperlink r:id="rId32" w:anchor="/document/99/727688582/XA00MAI2N9/" w:tgtFrame="_blank" w:history="1">
        <w:r>
          <w:rPr>
            <w:rStyle w:val="a4"/>
          </w:rPr>
          <w:t>п. 17</w:t>
        </w:r>
      </w:hyperlink>
      <w:r>
        <w:t> Правил 2464).</w:t>
      </w:r>
    </w:p>
    <w:p w:rsidR="004A410C" w:rsidRDefault="004A410C" w:rsidP="004A410C">
      <w:pPr>
        <w:pStyle w:val="2"/>
        <w:shd w:val="clear" w:color="auto" w:fill="FFFFFF"/>
      </w:pPr>
      <w:r>
        <w:t>Целевой инструктаж</w:t>
      </w:r>
    </w:p>
    <w:p w:rsidR="004A410C" w:rsidRDefault="004A410C" w:rsidP="004A410C">
      <w:pPr>
        <w:pStyle w:val="a3"/>
        <w:shd w:val="clear" w:color="auto" w:fill="FFFFFF"/>
      </w:pPr>
      <w:r>
        <w:t>Пропишите в локальном документе, кто, когда и в какие сроки проводит целевой инструктаж. Утвердите формы документов, в которых ответственные должны регистрировать инструктаж. Форму разработайте в соответствии с </w:t>
      </w:r>
      <w:hyperlink r:id="rId33" w:anchor="/document/99/727688582/XA00MBA2MS/" w:tgtFrame="_blank" w:history="1">
        <w:r>
          <w:rPr>
            <w:rStyle w:val="a4"/>
          </w:rPr>
          <w:t>пунктом 87</w:t>
        </w:r>
      </w:hyperlink>
      <w:r>
        <w:t> Правил 2464.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Утвердите перечень работ, перед которыми целевой инструктаж не нужен.</w:t>
      </w:r>
      <w:r>
        <w:t xml:space="preserve"> Целевой инструктаж разрешили не проводить, если при работах повышенной опасности соблюдают условия: работы периодически повторяются и являются неотъемлемой частью технологического процесса; обеспечили постоянство места, условий, характера работ и применяемых средств коллективной защиты; работают квалифицированные исполнители в постоянном составе. А также в локальных документах прописали решение работодателя об отмене инструктажа перед такими работами. </w:t>
      </w:r>
    </w:p>
    <w:p w:rsidR="004A410C" w:rsidRDefault="004A410C" w:rsidP="004A410C">
      <w:pPr>
        <w:shd w:val="clear" w:color="auto" w:fill="FFFFFF"/>
      </w:pPr>
      <w:r>
        <w:rPr>
          <w:noProof/>
        </w:rPr>
        <w:drawing>
          <wp:inline distT="0" distB="0" distL="0" distR="0">
            <wp:extent cx="680720" cy="669925"/>
            <wp:effectExtent l="19050" t="0" r="5080" b="0"/>
            <wp:docPr id="10" name="Рисунок 10" descr="https://e.profkiosk.ru/service_tbn2/3emif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.profkiosk.ru/service_tbn2/3emif0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Default="004A410C" w:rsidP="004A410C">
      <w:pPr>
        <w:pStyle w:val="3"/>
        <w:shd w:val="clear" w:color="auto" w:fill="FFFFFF"/>
      </w:pPr>
      <w:r>
        <w:rPr>
          <w:rStyle w:val="red"/>
        </w:rPr>
        <w:t>Обратите внимание</w:t>
      </w:r>
    </w:p>
    <w:p w:rsidR="004A410C" w:rsidRDefault="004A410C" w:rsidP="004A410C">
      <w:pPr>
        <w:pStyle w:val="a3"/>
        <w:shd w:val="clear" w:color="auto" w:fill="FFFFFF"/>
      </w:pPr>
      <w:r>
        <w:t>Работодатель вправе установить иные причины целевого инструктажа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Определите, когда и с кем нужно провести инструктаж.</w:t>
      </w:r>
      <w:r>
        <w:t xml:space="preserve"> Целевой инструктаж проводят перед работами:</w:t>
      </w:r>
    </w:p>
    <w:p w:rsidR="004A410C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proofErr w:type="gramStart"/>
      <w:r>
        <w:t>которые</w:t>
      </w:r>
      <w:proofErr w:type="gramEnd"/>
      <w:r>
        <w:t xml:space="preserve"> выполняют только под непрерывным контролем работодателя;</w:t>
      </w:r>
    </w:p>
    <w:p w:rsidR="004A410C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>
        <w:t>повышенной опасности;</w:t>
      </w:r>
    </w:p>
    <w:p w:rsidR="004A410C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>
        <w:t>на которые оформляют наряд-допуск, разрешение или другие распорядительные документы;</w:t>
      </w:r>
    </w:p>
    <w:p w:rsidR="004A410C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>
        <w:t>на объектах повышенной опасности, на проезжей части автомобильных дороги, ж/</w:t>
      </w:r>
      <w:proofErr w:type="spellStart"/>
      <w:r>
        <w:t>д</w:t>
      </w:r>
      <w:proofErr w:type="spellEnd"/>
      <w:r>
        <w:t xml:space="preserve"> путей;</w:t>
      </w:r>
    </w:p>
    <w:p w:rsidR="004A410C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proofErr w:type="gramStart"/>
      <w:r>
        <w:t>которые</w:t>
      </w:r>
      <w:proofErr w:type="gramEnd"/>
      <w:r>
        <w:t xml:space="preserve"> не относятся к основному технологическому процессу и не предусмотрены должностными инструкциями;</w:t>
      </w:r>
    </w:p>
    <w:p w:rsidR="004A410C" w:rsidRDefault="004A410C" w:rsidP="004A410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>
        <w:t>по ликвидации последствий ЧС.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Определите объем и содержание целевого инструктажа.</w:t>
      </w:r>
      <w:r>
        <w:t xml:space="preserve"> В каком объеме проводить целевой инструктаж зависит от требований охраны труда, которые предъявляют к запланированным работам или мероприятиям. Их указывают в локальном акте, например, в приказе. Также целевой инструктаж должен включать вопросы оказания первой помощи, объем которых определяет работодатель или ответственный за инструктаж (</w:t>
      </w:r>
      <w:hyperlink r:id="rId34" w:anchor="/document/99/727688582/XA00MB22NB/" w:tgtFrame="_blank" w:history="1">
        <w:r>
          <w:rPr>
            <w:rStyle w:val="a4"/>
          </w:rPr>
          <w:t>п. 21</w:t>
        </w:r>
      </w:hyperlink>
      <w:r>
        <w:t> Правил 2464).</w:t>
      </w:r>
    </w:p>
    <w:p w:rsidR="004A410C" w:rsidRDefault="004A410C" w:rsidP="004A410C">
      <w:pPr>
        <w:shd w:val="clear" w:color="auto" w:fill="FFFFFF"/>
      </w:pPr>
      <w:r>
        <w:rPr>
          <w:noProof/>
        </w:rPr>
        <w:drawing>
          <wp:inline distT="0" distB="0" distL="0" distR="0">
            <wp:extent cx="680720" cy="669925"/>
            <wp:effectExtent l="19050" t="0" r="5080" b="0"/>
            <wp:docPr id="11" name="Рисунок 11" descr="https://e.profkiosk.ru/service_tbn2/nz63j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.profkiosk.ru/service_tbn2/nz63j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10C" w:rsidRDefault="004A410C" w:rsidP="004A410C">
      <w:pPr>
        <w:pStyle w:val="3"/>
        <w:shd w:val="clear" w:color="auto" w:fill="FFFFFF"/>
      </w:pPr>
      <w:r>
        <w:rPr>
          <w:rStyle w:val="red"/>
        </w:rPr>
        <w:lastRenderedPageBreak/>
        <w:t>Важно</w:t>
      </w:r>
    </w:p>
    <w:p w:rsidR="004A410C" w:rsidRDefault="004A410C" w:rsidP="004A410C">
      <w:pPr>
        <w:pStyle w:val="a3"/>
        <w:shd w:val="clear" w:color="auto" w:fill="FFFFFF"/>
      </w:pPr>
      <w:r>
        <w:t>Документы, которые подтверждают прохождение работником инструктажа по охране труда, нельзя вести в электронном виде (</w:t>
      </w:r>
      <w:hyperlink r:id="rId35" w:anchor="/document/99/578322412/XA00RPA2OB/" w:history="1">
        <w:r>
          <w:rPr>
            <w:rStyle w:val="a4"/>
          </w:rPr>
          <w:t>ст. 22.1 ТК</w:t>
        </w:r>
      </w:hyperlink>
      <w:r>
        <w:t>)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>Подготовьте приказ о проведении целевого инструктажа.</w:t>
      </w:r>
      <w:r>
        <w:t xml:space="preserve"> В приказе указывают причину инструктажа со ссылками на законодательство, определяют его дату и время. Также приказом назначают непосредственного руководителя работ ответственным за проведение инструктажа и перечисляют контингент работников, которые должны его пройти. Если работы проводят по наряду-допуску, перечисленную информацию указывают в нем и отдельный приказ о проведении целевого инструктажа не издают. </w:t>
      </w:r>
    </w:p>
    <w:p w:rsidR="004A410C" w:rsidRDefault="004A410C" w:rsidP="004A410C">
      <w:pPr>
        <w:pStyle w:val="a3"/>
        <w:shd w:val="clear" w:color="auto" w:fill="FFFFFF"/>
      </w:pPr>
      <w:r>
        <w:rPr>
          <w:b/>
          <w:bCs/>
        </w:rPr>
        <w:t xml:space="preserve">Контролируйте проведение инструктажей. </w:t>
      </w:r>
      <w:r>
        <w:t xml:space="preserve">Проверяйте, чтобы ответственные своевременно проводили инструктажи и правильно их регистрировали. Целевой инструктаж проводят до начала работ, при которых он необходим. Помните, что при работах повышенной опасности, которые выполняют по наряду-допуску, инструктаж регистрируют согласно НПА, </w:t>
      </w:r>
      <w:proofErr w:type="gramStart"/>
      <w:r>
        <w:t>регламентирующим</w:t>
      </w:r>
      <w:proofErr w:type="gramEnd"/>
      <w:r>
        <w:t xml:space="preserve"> эти виды работ. Также учтите, если целевой инструктаж проводят в оперативном порядке при ликвидации последствий ЧС, его можно не регистрировать (</w:t>
      </w:r>
      <w:hyperlink r:id="rId36" w:anchor="/document/99/727688582/XA00MAG2N8/" w:tgtFrame="_blank" w:history="1">
        <w:r>
          <w:rPr>
            <w:rStyle w:val="a4"/>
          </w:rPr>
          <w:t>п. 20</w:t>
        </w:r>
      </w:hyperlink>
      <w:r>
        <w:t xml:space="preserve"> Правил 2464). </w:t>
      </w:r>
    </w:p>
    <w:p w:rsidR="004A410C" w:rsidRDefault="004A410C" w:rsidP="004A410C">
      <w:pPr>
        <w:pStyle w:val="2"/>
        <w:shd w:val="clear" w:color="auto" w:fill="FFFFFF"/>
      </w:pPr>
      <w:proofErr w:type="spellStart"/>
      <w:proofErr w:type="gramStart"/>
      <w:r>
        <w:t>Чек-листы</w:t>
      </w:r>
      <w:proofErr w:type="spellEnd"/>
      <w:proofErr w:type="gramEnd"/>
    </w:p>
    <w:p w:rsidR="004A410C" w:rsidRDefault="004A410C" w:rsidP="004A410C">
      <w:pPr>
        <w:pStyle w:val="3"/>
        <w:shd w:val="clear" w:color="auto" w:fill="FFFFFF"/>
      </w:pPr>
      <w:r>
        <w:rPr>
          <w:noProof/>
        </w:rPr>
        <w:drawing>
          <wp:inline distT="0" distB="0" distL="0" distR="0">
            <wp:extent cx="287020" cy="287020"/>
            <wp:effectExtent l="19050" t="0" r="0" b="0"/>
            <wp:docPr id="12" name="Рисунок 12" descr="https://e.profkiosk.ru/service_tbn2/xvnuf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.profkiosk.ru/service_tbn2/xvnufg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red"/>
        </w:rPr>
        <w:t>Скачать:</w:t>
      </w:r>
    </w:p>
    <w:p w:rsidR="004A410C" w:rsidRDefault="00FC77AD" w:rsidP="004A410C">
      <w:pPr>
        <w:pStyle w:val="a3"/>
        <w:shd w:val="clear" w:color="auto" w:fill="FFFFFF"/>
      </w:pPr>
      <w:hyperlink r:id="rId37" w:tgtFrame="_blank" w:history="1">
        <w:r w:rsidR="004A410C">
          <w:rPr>
            <w:rStyle w:val="a4"/>
          </w:rPr>
          <w:t>Чек-лист</w:t>
        </w:r>
      </w:hyperlink>
      <w:r w:rsidR="004A410C">
        <w:t>. Вводный инструктаж</w:t>
      </w:r>
    </w:p>
    <w:p w:rsidR="004A410C" w:rsidRDefault="00FC77AD" w:rsidP="004A410C">
      <w:pPr>
        <w:pStyle w:val="a3"/>
        <w:shd w:val="clear" w:color="auto" w:fill="FFFFFF"/>
      </w:pPr>
      <w:hyperlink r:id="rId38" w:tgtFrame="_blank" w:history="1">
        <w:r w:rsidR="004A410C">
          <w:rPr>
            <w:rStyle w:val="a4"/>
          </w:rPr>
          <w:t>Чек-лист</w:t>
        </w:r>
      </w:hyperlink>
      <w:r w:rsidR="004A410C">
        <w:t>. Первичный и повторный инструктажи</w:t>
      </w:r>
    </w:p>
    <w:p w:rsidR="004A410C" w:rsidRDefault="00FC77AD" w:rsidP="004A410C">
      <w:pPr>
        <w:pStyle w:val="a3"/>
        <w:shd w:val="clear" w:color="auto" w:fill="FFFFFF"/>
      </w:pPr>
      <w:hyperlink r:id="rId39" w:tgtFrame="_blank" w:history="1">
        <w:r w:rsidR="004A410C">
          <w:rPr>
            <w:rStyle w:val="a4"/>
          </w:rPr>
          <w:t>Чек-лист</w:t>
        </w:r>
      </w:hyperlink>
      <w:r w:rsidR="004A410C">
        <w:t>. Внеплановый инструктаж</w:t>
      </w:r>
    </w:p>
    <w:p w:rsidR="004A410C" w:rsidRDefault="00FC77AD" w:rsidP="004A410C">
      <w:pPr>
        <w:pStyle w:val="a3"/>
        <w:shd w:val="clear" w:color="auto" w:fill="FFFFFF"/>
      </w:pPr>
      <w:hyperlink r:id="rId40" w:tgtFrame="_blank" w:history="1">
        <w:r w:rsidR="004A410C">
          <w:rPr>
            <w:rStyle w:val="a4"/>
          </w:rPr>
          <w:t>Чек-лист</w:t>
        </w:r>
      </w:hyperlink>
      <w:r w:rsidR="004A410C">
        <w:t>. Целевой инструктаж</w:t>
      </w:r>
    </w:p>
    <w:p w:rsidR="004A410C" w:rsidRDefault="004A410C" w:rsidP="004A410C">
      <w:pPr>
        <w:pStyle w:val="a3"/>
        <w:shd w:val="clear" w:color="auto" w:fill="FFFFFF"/>
      </w:pPr>
      <w:r>
        <w:t xml:space="preserve">Если </w:t>
      </w:r>
      <w:proofErr w:type="spellStart"/>
      <w:proofErr w:type="gramStart"/>
      <w:r>
        <w:t>чек-листы</w:t>
      </w:r>
      <w:proofErr w:type="spellEnd"/>
      <w:proofErr w:type="gramEnd"/>
      <w:r>
        <w:t xml:space="preserve"> не отображаются, обновите страницу — нажмите F5</w:t>
      </w:r>
    </w:p>
    <w:p w:rsidR="004A410C" w:rsidRDefault="004A410C" w:rsidP="004A410C">
      <w:pPr>
        <w:shd w:val="clear" w:color="auto" w:fill="FFFFFF"/>
      </w:pPr>
    </w:p>
    <w:p w:rsidR="004A410C" w:rsidRDefault="004A410C" w:rsidP="004A410C">
      <w:pPr>
        <w:pStyle w:val="copyright-info"/>
        <w:shd w:val="clear" w:color="auto" w:fill="FFFFFF"/>
      </w:pPr>
      <w:r>
        <w:br/>
        <w:t>«</w:t>
      </w:r>
      <w:proofErr w:type="spellStart"/>
      <w:r>
        <w:t>Чекап</w:t>
      </w:r>
      <w:proofErr w:type="spellEnd"/>
      <w:r>
        <w:t xml:space="preserve"> инструктажей </w:t>
      </w:r>
      <w:proofErr w:type="gramStart"/>
      <w:r>
        <w:t>по</w:t>
      </w:r>
      <w:proofErr w:type="gramEnd"/>
      <w:r>
        <w:t> ОТ. Сверьтесь с </w:t>
      </w:r>
      <w:proofErr w:type="spellStart"/>
      <w:r>
        <w:t>чек</w:t>
      </w:r>
      <w:r>
        <w:noBreakHyphen/>
        <w:t>листами</w:t>
      </w:r>
      <w:proofErr w:type="spellEnd"/>
      <w:r>
        <w:t xml:space="preserve"> </w:t>
      </w:r>
      <w:proofErr w:type="gramStart"/>
      <w:r>
        <w:t>от</w:t>
      </w:r>
      <w:proofErr w:type="gramEnd"/>
      <w:r>
        <w:t> </w:t>
      </w:r>
      <w:proofErr w:type="gramStart"/>
      <w:r>
        <w:t>ГИТ</w:t>
      </w:r>
      <w:proofErr w:type="gramEnd"/>
      <w:r>
        <w:t>, чтобы без ошибок инструктировать работников по новым Правилам»</w:t>
      </w:r>
      <w:r>
        <w:br/>
        <w:t>© Материал из Справочной системы «Охрана труда».</w:t>
      </w:r>
      <w:r>
        <w:br/>
        <w:t xml:space="preserve">Подробнее: </w:t>
      </w:r>
      <w:hyperlink r:id="rId41" w:anchor="/document/189/992798/18_000/?of=copy-ac15a90650" w:history="1">
        <w:r>
          <w:rPr>
            <w:rStyle w:val="a4"/>
          </w:rPr>
          <w:t>https://1otruda.ru/#/document/189/992798/18_000/?of=copy-ac15a90650</w:t>
        </w:r>
      </w:hyperlink>
    </w:p>
    <w:p w:rsidR="004A410C" w:rsidRPr="004A410C" w:rsidRDefault="004A410C" w:rsidP="004A41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410C" w:rsidRPr="004A410C" w:rsidRDefault="004A410C" w:rsidP="004A410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410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7690A" w:rsidRDefault="00F7690A"/>
    <w:sectPr w:rsidR="00F7690A" w:rsidSect="00FC7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54D0"/>
    <w:multiLevelType w:val="multilevel"/>
    <w:tmpl w:val="05E8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4473F"/>
    <w:multiLevelType w:val="multilevel"/>
    <w:tmpl w:val="0AF2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A410C"/>
    <w:rsid w:val="004A410C"/>
    <w:rsid w:val="00DC5032"/>
    <w:rsid w:val="00F7690A"/>
    <w:rsid w:val="00FC7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7AD"/>
  </w:style>
  <w:style w:type="paragraph" w:styleId="1">
    <w:name w:val="heading 1"/>
    <w:basedOn w:val="a"/>
    <w:link w:val="10"/>
    <w:uiPriority w:val="9"/>
    <w:qFormat/>
    <w:rsid w:val="004A4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1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41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1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rticle-page-blockauthor-name">
    <w:name w:val="article-page-block__author-name"/>
    <w:basedOn w:val="a0"/>
    <w:rsid w:val="004A410C"/>
  </w:style>
  <w:style w:type="character" w:customStyle="1" w:styleId="article-page-blockauthor-comma">
    <w:name w:val="article-page-block__author-comma"/>
    <w:basedOn w:val="a0"/>
    <w:rsid w:val="004A410C"/>
  </w:style>
  <w:style w:type="character" w:customStyle="1" w:styleId="article-page-blockauthor-post">
    <w:name w:val="article-page-block__author-post"/>
    <w:basedOn w:val="a0"/>
    <w:rsid w:val="004A410C"/>
  </w:style>
  <w:style w:type="paragraph" w:styleId="a3">
    <w:name w:val="Normal (Web)"/>
    <w:basedOn w:val="a"/>
    <w:uiPriority w:val="99"/>
    <w:semiHidden/>
    <w:unhideWhenUsed/>
    <w:rsid w:val="004A4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tter">
    <w:name w:val="letter"/>
    <w:basedOn w:val="a0"/>
    <w:rsid w:val="004A410C"/>
  </w:style>
  <w:style w:type="paragraph" w:customStyle="1" w:styleId="copyright-info">
    <w:name w:val="copyright-info"/>
    <w:basedOn w:val="a"/>
    <w:rsid w:val="004A4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A41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A4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410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A41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A410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red">
    <w:name w:val="red"/>
    <w:basedOn w:val="a0"/>
    <w:rsid w:val="004A41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1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8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5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0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02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86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64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1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7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83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442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37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22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67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157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512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83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18" Type="http://schemas.openxmlformats.org/officeDocument/2006/relationships/hyperlink" Target="https://1otruda.ru/" TargetMode="External"/><Relationship Id="rId26" Type="http://schemas.openxmlformats.org/officeDocument/2006/relationships/hyperlink" Target="https://1otruda.ru/" TargetMode="External"/><Relationship Id="rId39" Type="http://schemas.openxmlformats.org/officeDocument/2006/relationships/hyperlink" Target="https://e.profkiosk.ru/eServices/service_content/file/33c2c8cf-792e-4562-bc96-741f4cadcfc7.pdf;CHek-list_Vneplanovyjj%20instruktazh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.profkiosk.ru/eServices/service_content/file/48a99eca-94eb-46bc-b145-a08791efa51c.pdf;Pamyatka_Komu,%20kogda%20i%20kakojj%20instruktazh%20provodit.pdf" TargetMode="External"/><Relationship Id="rId34" Type="http://schemas.openxmlformats.org/officeDocument/2006/relationships/hyperlink" Target="https://1otruda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17" Type="http://schemas.openxmlformats.org/officeDocument/2006/relationships/hyperlink" Target="https://e.profkiosk.ru/eServices/service_content/file/5557955e-0701-49e6-acc4-6c6ae375b9d0.rtf;Obrazcy%20zhurnalov%20instruktazhejj%20po%20okhrane%20truda.rtf" TargetMode="External"/><Relationship Id="rId25" Type="http://schemas.openxmlformats.org/officeDocument/2006/relationships/hyperlink" Target="https://1otruda.ru/" TargetMode="External"/><Relationship Id="rId33" Type="http://schemas.openxmlformats.org/officeDocument/2006/relationships/hyperlink" Target="https://1otruda.ru/" TargetMode="External"/><Relationship Id="rId38" Type="http://schemas.openxmlformats.org/officeDocument/2006/relationships/hyperlink" Target="https://e.profkiosk.ru/eServices/service_content/file/1c159a52-e956-4c9d-a6d2-f64161e6b3f9.pdf;CHek-list_Pervichnyjj%20i%20povtornyjj%20instruktazhi.pdf" TargetMode="Externa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4.png"/><Relationship Id="rId29" Type="http://schemas.openxmlformats.org/officeDocument/2006/relationships/hyperlink" Target="https://1otruda.ru/" TargetMode="External"/><Relationship Id="rId41" Type="http://schemas.openxmlformats.org/officeDocument/2006/relationships/hyperlink" Target="https://1otruda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1otruda.ru/" TargetMode="External"/><Relationship Id="rId24" Type="http://schemas.openxmlformats.org/officeDocument/2006/relationships/hyperlink" Target="https://1otruda.ru/" TargetMode="External"/><Relationship Id="rId32" Type="http://schemas.openxmlformats.org/officeDocument/2006/relationships/hyperlink" Target="https://1otruda.ru/" TargetMode="External"/><Relationship Id="rId37" Type="http://schemas.openxmlformats.org/officeDocument/2006/relationships/hyperlink" Target="https://e.profkiosk.ru/eServices/service_content/file/848ab62a-7adb-494c-a541-f43d1efdd5ce.pdf;CHek-list_Vvodnyjj%20instruktazh.pdf" TargetMode="External"/><Relationship Id="rId40" Type="http://schemas.openxmlformats.org/officeDocument/2006/relationships/hyperlink" Target="https://e.profkiosk.ru/eServices/service_content/file/d4f85c27-7830-4f1d-8ea8-4849f871111a.pdf;CHek-list_Celevojj%20instruktazh.pdf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.profkiosk.ru/service_tbn2/ji4rx2.jpg" TargetMode="External"/><Relationship Id="rId23" Type="http://schemas.openxmlformats.org/officeDocument/2006/relationships/image" Target="media/image5.png"/><Relationship Id="rId28" Type="http://schemas.openxmlformats.org/officeDocument/2006/relationships/image" Target="media/image6.jpeg"/><Relationship Id="rId36" Type="http://schemas.openxmlformats.org/officeDocument/2006/relationships/hyperlink" Target="https://1otruda.ru/" TargetMode="External"/><Relationship Id="rId10" Type="http://schemas.openxmlformats.org/officeDocument/2006/relationships/hyperlink" Target="https://1otruda.ru/" TargetMode="External"/><Relationship Id="rId19" Type="http://schemas.openxmlformats.org/officeDocument/2006/relationships/hyperlink" Target="https://1otruda.ru/" TargetMode="External"/><Relationship Id="rId31" Type="http://schemas.openxmlformats.org/officeDocument/2006/relationships/hyperlink" Target="https://e.profkiosk.ru/eServices/service_content/file/a416c799-0b27-41ab-b5cc-53b29904d582.rtf;Obrazec%20prikaza%20o%20provedenii%20vneplanovogo%20instruktazha%20po%20okhrane%20truda%20na%20rabochem%20meste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Relationship Id="rId22" Type="http://schemas.openxmlformats.org/officeDocument/2006/relationships/hyperlink" Target="https://1otruda.ru/" TargetMode="External"/><Relationship Id="rId27" Type="http://schemas.openxmlformats.org/officeDocument/2006/relationships/hyperlink" Target="https://1otruda.ru/#/document/189/993058/" TargetMode="External"/><Relationship Id="rId30" Type="http://schemas.openxmlformats.org/officeDocument/2006/relationships/hyperlink" Target="https://1otruda.ru/" TargetMode="External"/><Relationship Id="rId35" Type="http://schemas.openxmlformats.org/officeDocument/2006/relationships/hyperlink" Target="https://1otruda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2783</Words>
  <Characters>15864</Characters>
  <Application>Microsoft Office Word</Application>
  <DocSecurity>0</DocSecurity>
  <Lines>132</Lines>
  <Paragraphs>37</Paragraphs>
  <ScaleCrop>false</ScaleCrop>
  <Company/>
  <LinksUpToDate>false</LinksUpToDate>
  <CharactersWithSpaces>18610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3</cp:revision>
  <dcterms:created xsi:type="dcterms:W3CDTF">2022-10-19T07:00:00Z</dcterms:created>
  <dcterms:modified xsi:type="dcterms:W3CDTF">2022-11-16T06:07:00Z</dcterms:modified>
</cp:coreProperties>
</file>